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7"/>
        <w:tblW w:w="100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6"/>
        <w:gridCol w:w="5559"/>
      </w:tblGrid>
      <w:tr>
        <w:tblPrEx/>
        <w:trPr>
          <w:trHeight w:val="994"/>
        </w:trPr>
        <w:tc>
          <w:tcPr>
            <w:tcW w:w="450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26780" cy="942975"/>
                      <wp:effectExtent l="0" t="0" r="2540" b="0"/>
                      <wp:docPr id="1" name="Рисунок 1" descr="C:\Users\gomanenko_gv\Desktop\герб длинный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gomanenko_gv\Desktop\герб длинный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81727" cy="9662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75.34pt;height:74.25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5559" w:type="dxa"/>
            <w:textDirection w:val="lrTb"/>
            <w:noWrap w:val="false"/>
          </w:tcPr>
          <w:p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  <w:p>
            <w:pPr>
              <w:jc w:val="right"/>
              <w:rPr>
                <w:rFonts w:ascii="Inter V" w:hAnsi="Inter V" w:cs="Times New Roman"/>
                <w:b/>
              </w:rPr>
            </w:pP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  <w:r>
              <w:rPr>
                <w:rFonts w:ascii="Inter V" w:hAnsi="Inter V" w:cs="Times New Roman"/>
                <w:b/>
              </w:rPr>
            </w:r>
          </w:p>
        </w:tc>
      </w:tr>
    </w:tbl>
    <w:p>
      <w:pPr>
        <w:jc w:val="right"/>
        <w:spacing w:line="240" w:lineRule="auto"/>
        <w:tabs>
          <w:tab w:val="left" w:pos="567" w:leader="none"/>
        </w:tabs>
        <w:rPr>
          <w:rFonts w:ascii="PT Astra Serif" w:hAnsi="PT Astra Serif" w:cs="PT Astra Serif"/>
          <w:color w:val="202122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202122"/>
          <w:sz w:val="24"/>
          <w:szCs w:val="24"/>
          <w:highlight w:val="none"/>
          <w:shd w:val="clear" w:color="auto" w:fill="ffffff"/>
        </w:rPr>
      </w:r>
      <w:r>
        <w:rPr>
          <w:rFonts w:ascii="PT Astra Serif" w:hAnsi="PT Astra Serif" w:eastAsia="PT Astra Serif" w:cs="PT Astra Serif"/>
          <w:color w:val="202122"/>
          <w:sz w:val="24"/>
          <w:szCs w:val="24"/>
          <w:highlight w:val="none"/>
          <w:shd w:val="clear" w:color="auto" w:fill="ffffff"/>
        </w:rPr>
      </w:r>
    </w:p>
    <w:p>
      <w:pPr>
        <w:jc w:val="right"/>
        <w:spacing w:line="240" w:lineRule="auto"/>
        <w:tabs>
          <w:tab w:val="left" w:pos="567" w:leader="none"/>
        </w:tabs>
        <w:rPr>
          <w:rFonts w:ascii="PT Astra Serif" w:hAnsi="PT Astra Serif" w:eastAsia="PT Astra Serif" w:cs="PT Astra Serif"/>
          <w:color w:val="202122"/>
          <w:sz w:val="24"/>
          <w:szCs w:val="24"/>
          <w:highlight w:val="none"/>
          <w:shd w:val="clear" w:color="auto" w:fill="ffffff"/>
        </w:rPr>
      </w:pPr>
      <w:r>
        <w:rPr>
          <w:rFonts w:ascii="PT Astra Serif" w:hAnsi="PT Astra Serif" w:eastAsia="PT Astra Serif" w:cs="PT Astra Serif"/>
          <w:color w:val="202122"/>
          <w:sz w:val="24"/>
          <w:szCs w:val="24"/>
          <w:shd w:val="clear" w:color="auto" w:fill="ffffff"/>
        </w:rPr>
        <w:t xml:space="preserve">11 сентября 2025</w:t>
      </w:r>
      <w:r>
        <w:rPr>
          <w:rFonts w:ascii="PT Astra Serif" w:hAnsi="PT Astra Serif" w:eastAsia="PT Astra Serif" w:cs="PT Astra Serif"/>
          <w:color w:val="202122"/>
          <w:sz w:val="24"/>
          <w:szCs w:val="24"/>
          <w:shd w:val="clear" w:color="auto" w:fill="ffffff"/>
        </w:rPr>
        <w:t xml:space="preserve"> года</w:t>
      </w:r>
      <w:r>
        <w:rPr>
          <w:rFonts w:ascii="PT Astra Serif" w:hAnsi="PT Astra Serif" w:eastAsia="PT Astra Serif" w:cs="PT Astra Serif"/>
          <w:color w:val="202122"/>
          <w:sz w:val="24"/>
          <w:szCs w:val="24"/>
          <w:shd w:val="clear" w:color="auto" w:fill="ffffff"/>
        </w:rPr>
      </w:r>
      <w:r>
        <w:rPr>
          <w:rFonts w:ascii="PT Astra Serif" w:hAnsi="PT Astra Serif" w:eastAsia="PT Astra Serif" w:cs="PT Astra Serif"/>
          <w:color w:val="202122"/>
          <w:sz w:val="24"/>
          <w:szCs w:val="24"/>
          <w:highlight w:val="none"/>
          <w:shd w:val="clear" w:color="auto" w:fill="ffffff"/>
        </w:rPr>
      </w:r>
    </w:p>
    <w:p>
      <w:pPr>
        <w:jc w:val="both"/>
        <w:spacing w:line="276" w:lineRule="auto"/>
        <w:tabs>
          <w:tab w:val="left" w:pos="567" w:leader="none"/>
        </w:tabs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  <w:r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</w:r>
    </w:p>
    <w:p>
      <w:pPr>
        <w:jc w:val="both"/>
        <w:spacing w:after="0" w:line="240" w:lineRule="auto"/>
        <w:rPr>
          <w:b/>
          <w:bCs/>
        </w:rPr>
      </w:pPr>
      <w:r>
        <w:rPr>
          <w:rFonts w:ascii="PT Astra Serif" w:hAnsi="PT Astra Serif" w:cs="PT Astra Serif"/>
          <w:b/>
          <w:bCs/>
          <w:color w:val="202122"/>
          <w:sz w:val="24"/>
          <w:szCs w:val="24"/>
        </w:rPr>
        <w:t xml:space="preserve">С сентября в России действуют новые признаки неиспользуемых участков</w:t>
      </w:r>
      <w:r>
        <w:rPr>
          <w:rFonts w:ascii="PT Astra Serif" w:hAnsi="PT Astra Serif" w:cs="PT Astra Serif"/>
          <w:b/>
          <w:bCs/>
          <w:color w:val="202122"/>
          <w:sz w:val="24"/>
          <w:szCs w:val="24"/>
        </w:rPr>
      </w:r>
      <w:r>
        <w:rPr>
          <w:b/>
          <w:bCs/>
        </w:rPr>
      </w:r>
    </w:p>
    <w:p>
      <w:pPr>
        <w:jc w:val="both"/>
        <w:spacing w:after="0" w:line="240" w:lineRule="auto"/>
      </w:pPr>
      <w:r>
        <w:rPr>
          <w:rFonts w:ascii="PT Astra Serif" w:hAnsi="PT Astra Serif" w:cs="PT Astra Serif"/>
          <w:b/>
          <w:bCs/>
          <w:color w:val="202122"/>
          <w:sz w:val="24"/>
          <w:szCs w:val="24"/>
        </w:rPr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В настоящее время множество неиспользуемых земельных участков стали одной из серьезных проблем Приангарья, для решения которой потребовались законодательные изменения.</w:t>
      </w:r>
      <w:r/>
      <w:r/>
    </w:p>
    <w:p>
      <w:pPr>
        <w:contextualSpacing w:val="0"/>
        <w:jc w:val="both"/>
        <w:spacing w:before="0" w:after="85" w:line="240" w:lineRule="auto"/>
        <w:rPr>
          <w:rFonts w:ascii="PT Astra Serif" w:hAnsi="PT Astra Serif" w:cs="PT Astra Serif"/>
          <w:color w:val="202122"/>
          <w:sz w:val="24"/>
          <w:szCs w:val="24"/>
        </w:rPr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С 1 марта 2025 года действует закон, который установил обязательный трехлетний срок для освоения земельных участков. </w:t>
      </w:r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Теперь же появился список конкретных условий, которые позволят считать земельный участок неиспользуемым, то есть неосвоенным.</w:t>
      </w:r>
      <w:r/>
      <w:r/>
    </w:p>
    <w:p>
      <w:pPr>
        <w:contextualSpacing w:val="0"/>
        <w:jc w:val="both"/>
        <w:spacing w:before="0" w:after="85" w:line="240" w:lineRule="auto"/>
        <w:rPr>
          <w:rFonts w:ascii="PT Astra Serif" w:hAnsi="PT Astra Serif" w:cs="PT Astra Serif"/>
          <w:color w:val="202122"/>
          <w:sz w:val="24"/>
          <w:szCs w:val="24"/>
        </w:rPr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1 сентября вступило в силу постановление 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Правительства России, утвердившее признаки, по которым и сам владелец земли, и проверяющие органы могут определить, что участок может быть признан неиспользуемым. </w:t>
      </w:r>
      <w:r/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Речь идет об участках из земель населенных пунктов, а также о садовых и огородных участках. </w:t>
      </w:r>
      <w:r/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П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о словам руководителя Управления Росреестра по Иркутской области Виктора Петровича Жердева, важно, что теперь установлен исчерпывающий перечень условий, при которых проверяющие органы могут признать ваш участок неиспользуемым. То есть установлены конкретны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е рамки, за которые контролирующие органы выйти не вправе, что исключит субъективный подход проверяющего и коррупционные проявления.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Н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овые правила призваны помочь в борьбе с заброшенными, захламленными участками, которые часто делают жизнь соседей некомфортной и даже небезопасной, ведь на таких участках часто возникают свалки мусора, живут грызуны, бродячие собаки и люди без определенног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о места жительства.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К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ак отметил председатель Союза садоводов Иркутской области, член Общественного совета при Управлении Росреестра по Иркутской области Валерий Васильевич Жуйков,  заброшенные садовые и огородные участки – это действительно большая проблема для садоводств Приб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а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йкалья. Такие участки есть в каждом садоводстве, особенно в тех, которые расположены на менее востребованных территориях. При этом у правлений садоводств практически нет рычагов влияния на ситуацию, на недобросовестных пользователей земли, поэтому в данном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 вопросе помощь закона крайне важна.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rPr>
          <w:rFonts w:ascii="PT Astra Serif" w:hAnsi="PT Astra Serif" w:cs="PT Astra Serif"/>
          <w:color w:val="202122"/>
          <w:sz w:val="24"/>
          <w:szCs w:val="24"/>
          <w:highlight w:val="none"/>
        </w:rPr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В каких же случаях участок может быть признан неиспользуемым?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Для всех земельных участков в границах населенных пунктов, а также садовых и огородных участков признаком неиспользования является захламление или загрязнение отходами более половины их площади в течение года.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С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адовые, огородные и приусадебные земельные участки не должны быть заросшими сорными растениями. Такие участки будут считаться неиспользуемыми, если более чем половина их площади в течение года остается покрытой сорными растениями высотой более 1 метра, а т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акже деревьями и кустарниками, которые не являются предметами благоустройства и озеленения.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Д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ля земельных участков, предназначенных для строительства, таким признаком будет отсутствие построенного и оформленного здания, сооружения в течение 5 лет (дополнительно к сроку 3 года, который дается на освоение участка). При этом установлены случаи, когда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 такой срок может быть иным – например, если он указан в разрешении на строительство или решении о комплексном развитии территории.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Д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ля земельных участков, предназначенных для индивидуального жилищного строительства, введен аналогичный признак неиспользования. При этом срок для строительства индивидуального жилого дома и регистрации права на него увеличен до 7 лет (дополнительно к сроку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 3 года, который дается на освоение участка).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Е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Это также будет свидетельствовать о неиспользовании земельного участка</w:t>
      </w:r>
      <w:r>
        <w:rPr>
          <w:rFonts w:ascii="PT Astra Serif" w:hAnsi="PT Astra Serif" w:cs="PT Astra Serif"/>
          <w:color w:val="202122"/>
          <w:sz w:val="24"/>
          <w:szCs w:val="24"/>
        </w:rPr>
        <w:t xml:space="preserve">.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Для собственников и владельцев земли знание таких условий имеет большую важность, это позволит не допускать признания участка неиспользуемым.</w:t>
      </w:r>
      <w:r>
        <w:rPr>
          <w:rFonts w:ascii="PT Astra Serif" w:hAnsi="PT Astra Serif" w:cs="PT Astra Serif"/>
          <w:color w:val="202122"/>
          <w:sz w:val="24"/>
          <w:szCs w:val="24"/>
        </w:rPr>
      </w:r>
      <w:r/>
    </w:p>
    <w:p>
      <w:pPr>
        <w:contextualSpacing w:val="0"/>
        <w:jc w:val="both"/>
        <w:spacing w:before="0" w:after="85" w:line="240" w:lineRule="auto"/>
        <w:rPr>
          <w:rFonts w:ascii="PT Astra Serif" w:hAnsi="PT Astra Serif" w:cs="PT Astra Serif"/>
          <w:color w:val="202122"/>
          <w:sz w:val="24"/>
          <w:szCs w:val="24"/>
        </w:rPr>
        <w:suppressLineNumbers w:val="0"/>
      </w:pPr>
      <w:r>
        <w:rPr>
          <w:rFonts w:ascii="PT Astra Serif" w:hAnsi="PT Astra Serif" w:cs="PT Astra Serif"/>
          <w:color w:val="202122"/>
          <w:sz w:val="24"/>
          <w:szCs w:val="24"/>
        </w:rPr>
        <w:t xml:space="preserve">Еще раз напомним, что для устранения подобных нарушений закон отводит достаточно большой срок – 3 года, а для постройки зданий на участке эти сроки еще больше - 8 лет для нежилых зданий и 10 лет для жилых домов. </w:t>
      </w:r>
      <w:r>
        <w:rPr>
          <w:rFonts w:ascii="PT Astra Serif" w:hAnsi="PT Astra Serif" w:cs="PT Astra Serif"/>
          <w:color w:val="202122"/>
          <w:sz w:val="24"/>
          <w:szCs w:val="24"/>
        </w:rPr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202122"/>
          <w:sz w:val="24"/>
          <w:szCs w:val="24"/>
        </w:rPr>
      </w:pPr>
      <w:r>
        <w:rPr>
          <w:rFonts w:ascii="PT Astra Serif" w:hAnsi="PT Astra Serif" w:cs="PT Astra Serif"/>
          <w:color w:val="202122"/>
          <w:sz w:val="24"/>
          <w:szCs w:val="24"/>
          <w:shd w:val="clear" w:color="auto" w:fill="ffffff"/>
        </w:rPr>
      </w:r>
      <w:r>
        <w:rPr>
          <w:rFonts w:ascii="PT Astra Serif" w:hAnsi="PT Astra Serif" w:cs="PT Astra Serif"/>
          <w:color w:val="202122"/>
          <w:sz w:val="24"/>
          <w:szCs w:val="24"/>
        </w:rPr>
      </w:r>
      <w:r>
        <w:rPr>
          <w:rFonts w:ascii="PT Astra Serif" w:hAnsi="PT Astra Serif" w:cs="PT Astra Serif"/>
          <w:color w:val="202122"/>
          <w:sz w:val="24"/>
          <w:szCs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color w:val="202122"/>
          <w:sz w:val="24"/>
          <w:szCs w:val="24"/>
          <w:shd w:val="clear" w:color="auto" w:fill="ffffff"/>
        </w:rPr>
      </w:pPr>
      <w:r>
        <w:rPr>
          <w:rFonts w:ascii="PT Astra Serif" w:hAnsi="PT Astra Serif" w:eastAsia="PT Astra Serif" w:cs="PT Astra Serif"/>
          <w:color w:val="202122"/>
          <w:sz w:val="24"/>
          <w:szCs w:val="24"/>
          <w:shd w:val="clear" w:color="auto" w:fill="ffffff"/>
        </w:rPr>
      </w:r>
      <w:r>
        <w:rPr>
          <w:rFonts w:ascii="PT Astra Serif" w:hAnsi="PT Astra Serif" w:cs="PT Astra Serif"/>
          <w:color w:val="202122"/>
          <w:sz w:val="24"/>
          <w:szCs w:val="24"/>
          <w:shd w:val="clear" w:color="auto" w:fill="ffffff"/>
        </w:rPr>
      </w:r>
      <w:r>
        <w:rPr>
          <w:rFonts w:ascii="PT Astra Serif" w:hAnsi="PT Astra Serif" w:cs="PT Astra Serif"/>
          <w:color w:val="202122"/>
          <w:sz w:val="24"/>
          <w:szCs w:val="24"/>
          <w:shd w:val="clear" w:color="auto" w:fill="ffffff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PT Astra Serif" w:hAnsi="PT Astra Serif" w:cs="PT Astra Serif"/>
          <w:i/>
          <w:color w:val="202122"/>
          <w:sz w:val="24"/>
          <w:szCs w:val="24"/>
          <w:shd w:val="clear" w:color="auto" w:fill="ffffff"/>
        </w:rPr>
      </w:pPr>
      <w:r>
        <w:rPr>
          <w:rFonts w:ascii="PT Astra Serif" w:hAnsi="PT Astra Serif" w:eastAsia="PT Astra Serif" w:cs="PT Astra Serif"/>
          <w:i/>
          <w:color w:val="202122"/>
          <w:sz w:val="24"/>
          <w:szCs w:val="24"/>
          <w:shd w:val="clear" w:color="auto" w:fill="ffffff"/>
        </w:rPr>
        <w:t xml:space="preserve">Пресс-служба Управления </w:t>
      </w:r>
      <w:r>
        <w:rPr>
          <w:rFonts w:ascii="PT Astra Serif" w:hAnsi="PT Astra Serif" w:eastAsia="PT Astra Serif" w:cs="PT Astra Serif"/>
          <w:i/>
          <w:color w:val="202122"/>
          <w:sz w:val="24"/>
          <w:szCs w:val="24"/>
          <w:shd w:val="clear" w:color="auto" w:fill="ffffff"/>
        </w:rPr>
        <w:t xml:space="preserve">Росреестра</w:t>
      </w:r>
      <w:r>
        <w:rPr>
          <w:rFonts w:ascii="PT Astra Serif" w:hAnsi="PT Astra Serif" w:eastAsia="PT Astra Serif" w:cs="PT Astra Serif"/>
          <w:i/>
          <w:color w:val="202122"/>
          <w:sz w:val="24"/>
          <w:szCs w:val="24"/>
          <w:shd w:val="clear" w:color="auto" w:fill="ffffff"/>
        </w:rPr>
        <w:t xml:space="preserve"> по Иркутской области</w:t>
      </w:r>
      <w:r>
        <w:rPr>
          <w:rFonts w:ascii="PT Astra Serif" w:hAnsi="PT Astra Serif" w:cs="PT Astra Serif"/>
          <w:i/>
          <w:color w:val="202122"/>
          <w:sz w:val="24"/>
          <w:szCs w:val="24"/>
          <w:shd w:val="clear" w:color="auto" w:fill="ffffff"/>
        </w:rPr>
      </w:r>
      <w:r>
        <w:rPr>
          <w:rFonts w:ascii="PT Astra Serif" w:hAnsi="PT Astra Serif" w:cs="PT Astra Serif"/>
          <w:i/>
          <w:color w:val="202122"/>
          <w:sz w:val="24"/>
          <w:szCs w:val="24"/>
          <w:shd w:val="clear" w:color="auto" w:fill="ffffff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Arial" w:hAnsi="Arial" w:cs="Arial"/>
          <w:bCs/>
          <w:i/>
          <w:color w:val="202122"/>
        </w:rPr>
      </w:pP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bCs/>
          <w:i/>
          <w:color w:val="202122"/>
        </w:rPr>
      </w:r>
      <w:r>
        <w:rPr>
          <w:rFonts w:ascii="Arial" w:hAnsi="Arial" w:cs="Arial"/>
          <w:bCs/>
          <w:i/>
          <w:color w:val="202122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Arial" w:hAnsi="Arial" w:cs="Arial"/>
          <w:bCs/>
          <w:i/>
          <w:color w:val="202122"/>
        </w:rPr>
      </w:pPr>
      <w:r>
        <w:rPr>
          <w:rFonts w:ascii="Arial" w:hAnsi="Arial" w:cs="Arial"/>
          <w:i/>
          <w:color w:val="202122"/>
          <w:highlight w:val="none"/>
          <w:shd w:val="clear" w:color="auto" w:fill="ffffff"/>
        </w:rPr>
      </w:r>
      <w:r>
        <w:rPr>
          <w:rFonts w:ascii="Arial" w:hAnsi="Arial" w:cs="Arial"/>
          <w:bCs/>
          <w:i/>
          <w:color w:val="202122"/>
        </w:rPr>
      </w:r>
      <w:r>
        <w:rPr>
          <w:rFonts w:ascii="Arial" w:hAnsi="Arial" w:cs="Arial"/>
          <w:bCs/>
          <w:i/>
          <w:color w:val="202122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Arial" w:hAnsi="Arial" w:cs="Arial"/>
          <w:i/>
          <w:color w:val="202122"/>
          <w:shd w:val="clear" w:color="auto" w:fill="ffffff"/>
        </w:rPr>
      </w:pP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Arial" w:hAnsi="Arial" w:cs="Arial"/>
          <w:i/>
          <w:color w:val="202122"/>
          <w:shd w:val="clear" w:color="auto" w:fill="ffffff"/>
        </w:rPr>
      </w:pP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Arial" w:hAnsi="Arial" w:cs="Arial"/>
          <w:i/>
          <w:color w:val="202122"/>
          <w:shd w:val="clear" w:color="auto" w:fill="ffffff"/>
        </w:rPr>
      </w:pP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Arial" w:hAnsi="Arial" w:cs="Arial"/>
          <w:i/>
          <w:color w:val="202122"/>
          <w:shd w:val="clear" w:color="auto" w:fill="ffffff"/>
        </w:rPr>
      </w:pP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</w:p>
    <w:p>
      <w:pPr>
        <w:jc w:val="both"/>
        <w:spacing w:line="240" w:lineRule="auto"/>
        <w:tabs>
          <w:tab w:val="left" w:pos="567" w:leader="none"/>
        </w:tabs>
        <w:rPr>
          <w:rFonts w:ascii="Arial" w:hAnsi="Arial" w:cs="Arial"/>
          <w:i/>
          <w:color w:val="202122"/>
          <w:shd w:val="clear" w:color="auto" w:fill="ffffff"/>
        </w:rPr>
      </w:pP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  <w:r>
        <w:rPr>
          <w:rFonts w:ascii="Arial" w:hAnsi="Arial" w:cs="Arial"/>
          <w:i/>
          <w:color w:val="202122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709" w:right="849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Inter V">
    <w:panose1 w:val="02000603000000000000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0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0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0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0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0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0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0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0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29"/>
    <w:next w:val="829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0"/>
    <w:link w:val="673"/>
    <w:uiPriority w:val="10"/>
    <w:rPr>
      <w:sz w:val="48"/>
      <w:szCs w:val="48"/>
    </w:rPr>
  </w:style>
  <w:style w:type="paragraph" w:styleId="675">
    <w:name w:val="Subtitle"/>
    <w:basedOn w:val="829"/>
    <w:next w:val="829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0"/>
    <w:link w:val="675"/>
    <w:uiPriority w:val="11"/>
    <w:rPr>
      <w:sz w:val="24"/>
      <w:szCs w:val="24"/>
    </w:rPr>
  </w:style>
  <w:style w:type="paragraph" w:styleId="677">
    <w:name w:val="Quote"/>
    <w:basedOn w:val="829"/>
    <w:next w:val="829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9"/>
    <w:next w:val="829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0"/>
    <w:link w:val="681"/>
    <w:uiPriority w:val="99"/>
  </w:style>
  <w:style w:type="paragraph" w:styleId="683">
    <w:name w:val="Footer"/>
    <w:basedOn w:val="829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0"/>
    <w:link w:val="683"/>
    <w:uiPriority w:val="99"/>
  </w:style>
  <w:style w:type="paragraph" w:styleId="685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Balloon Text"/>
    <w:basedOn w:val="829"/>
    <w:link w:val="83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4" w:customStyle="1">
    <w:name w:val="Текст выноски Знак"/>
    <w:basedOn w:val="830"/>
    <w:link w:val="833"/>
    <w:uiPriority w:val="99"/>
    <w:semiHidden/>
    <w:rPr>
      <w:rFonts w:ascii="Segoe UI" w:hAnsi="Segoe UI" w:cs="Segoe UI"/>
      <w:sz w:val="18"/>
      <w:szCs w:val="18"/>
    </w:rPr>
  </w:style>
  <w:style w:type="character" w:styleId="835">
    <w:name w:val="Hyperlink"/>
    <w:basedOn w:val="830"/>
    <w:uiPriority w:val="99"/>
    <w:unhideWhenUsed/>
    <w:rPr>
      <w:color w:val="0563c1" w:themeColor="hyperlink"/>
      <w:u w:val="single"/>
    </w:rPr>
  </w:style>
  <w:style w:type="paragraph" w:styleId="836">
    <w:name w:val="List Paragraph"/>
    <w:basedOn w:val="829"/>
    <w:uiPriority w:val="34"/>
    <w:qFormat/>
    <w:pPr>
      <w:contextualSpacing/>
      <w:ind w:left="720"/>
    </w:pPr>
  </w:style>
  <w:style w:type="table" w:styleId="837">
    <w:name w:val="Table Grid"/>
    <w:basedOn w:val="83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8" w:customStyle="1">
    <w:name w:val="object"/>
    <w:basedOn w:val="830"/>
  </w:style>
  <w:style w:type="paragraph" w:styleId="839">
    <w:name w:val="Normal (Web)"/>
    <w:basedOn w:val="8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Гоманенко Галина Васильевна</dc:creator>
  <cp:keywords>Единый ресурс о земле и недвижимости</cp:keywords>
  <dc:description/>
  <cp:revision>41</cp:revision>
  <dcterms:created xsi:type="dcterms:W3CDTF">2022-05-25T09:41:00Z</dcterms:created>
  <dcterms:modified xsi:type="dcterms:W3CDTF">2025-09-11T00:48:02Z</dcterms:modified>
</cp:coreProperties>
</file>