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7470" w14:textId="6838CEAF" w:rsidR="00011A70" w:rsidRPr="003A1C1A" w:rsidRDefault="00011A70" w:rsidP="00011A70">
      <w:pPr>
        <w:pStyle w:val="a3"/>
        <w:shd w:val="clear" w:color="auto" w:fill="FFFFFF" w:themeFill="background1"/>
        <w:spacing w:before="0" w:beforeAutospacing="0" w:after="300" w:afterAutospacing="0"/>
        <w:jc w:val="center"/>
        <w:textAlignment w:val="baseline"/>
        <w:rPr>
          <w:b/>
          <w:b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3A1C1A">
        <w:rPr>
          <w:b/>
          <w:b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Проверка наруж</w:t>
      </w:r>
      <w:bookmarkStart w:id="0" w:name="_GoBack"/>
      <w:bookmarkEnd w:id="0"/>
      <w:r w:rsidRPr="003A1C1A">
        <w:rPr>
          <w:b/>
          <w:bCs/>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t>ного противопожарного водоснабжения</w:t>
      </w:r>
    </w:p>
    <w:p w14:paraId="1F5362E0" w14:textId="5B2438C1" w:rsidR="00570E43" w:rsidRPr="003A1C1A" w:rsidRDefault="00845C9B" w:rsidP="00140A66">
      <w:pPr>
        <w:pStyle w:val="a3"/>
        <w:shd w:val="clear" w:color="auto" w:fill="FFFFFF"/>
        <w:spacing w:before="0" w:beforeAutospacing="0" w:after="300" w:afterAutospacing="0"/>
        <w:ind w:firstLine="708"/>
        <w:jc w:val="both"/>
        <w:textAlignment w:val="baseline"/>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45C9B">
        <w:rPr>
          <w:sz w:val="28"/>
          <w:szCs w:val="28"/>
        </w:rPr>
        <w:t>От обеспеченности населенных пунктов и объектов источниками наружного противопожарного водоснабжения</w:t>
      </w:r>
      <w:r>
        <w:rPr>
          <w:sz w:val="28"/>
          <w:szCs w:val="28"/>
        </w:rPr>
        <w:t>, зависит качество и своевременное тушение пожаров, поэтому р</w:t>
      </w:r>
      <w:r w:rsidRPr="00BC524A">
        <w:rPr>
          <w:sz w:val="28"/>
          <w:szCs w:val="28"/>
        </w:rPr>
        <w:t>уководителям предприятий и органов местного самоуправления следует обратить внимание на исправность, своевременное обслуживание и ремонт наружного противопожарного водоснабжения, а также обеспечение возможности забора воды подразделениями пожарной охраны. </w:t>
      </w:r>
    </w:p>
    <w:p w14:paraId="2E9B7C71" w14:textId="5C5677AE" w:rsidR="00845C9B" w:rsidRDefault="00441CFD" w:rsidP="00845C9B">
      <w:pPr>
        <w:pStyle w:val="a3"/>
        <w:shd w:val="clear" w:color="auto" w:fill="FFFFFF"/>
        <w:spacing w:before="0" w:beforeAutospacing="0" w:after="300" w:afterAutospacing="0"/>
        <w:ind w:firstLine="708"/>
        <w:jc w:val="both"/>
        <w:textAlignment w:val="baseline"/>
        <w:rPr>
          <w:sz w:val="28"/>
          <w:szCs w:val="28"/>
        </w:rPr>
      </w:pPr>
      <w:r>
        <w:rPr>
          <w:sz w:val="28"/>
          <w:szCs w:val="28"/>
        </w:rPr>
        <w:t>В целях подготовки к осенне-зимнему периоду 2021-2022 годов, в</w:t>
      </w:r>
      <w:r w:rsidR="007F135C">
        <w:rPr>
          <w:sz w:val="28"/>
          <w:szCs w:val="28"/>
        </w:rPr>
        <w:t xml:space="preserve"> период с 15 августа по 15 октября 2021 года силами пожарным подразделений </w:t>
      </w:r>
      <w:r>
        <w:rPr>
          <w:sz w:val="28"/>
          <w:szCs w:val="28"/>
        </w:rPr>
        <w:t xml:space="preserve">ОГБУ «ПСС Иркутской области» </w:t>
      </w:r>
      <w:r w:rsidR="007F135C">
        <w:rPr>
          <w:sz w:val="28"/>
          <w:szCs w:val="28"/>
        </w:rPr>
        <w:t>будет проводится осенняя проверка источников наружного противопожарного водоснабжения на территории населенных пунктов Тулунского муниципального района. Напоминаем вам требования по нормативно-правовым актам, в области наружного противопожарного водоснабжения.</w:t>
      </w:r>
    </w:p>
    <w:p w14:paraId="0F522E31" w14:textId="1BE2F7F8" w:rsidR="00011A70" w:rsidRPr="00011A70" w:rsidRDefault="00845C9B" w:rsidP="00845C9B">
      <w:pPr>
        <w:pStyle w:val="a3"/>
        <w:shd w:val="clear" w:color="auto" w:fill="FFFFFF"/>
        <w:spacing w:before="0" w:beforeAutospacing="0" w:after="300" w:afterAutospacing="0"/>
        <w:jc w:val="both"/>
        <w:textAlignment w:val="baseline"/>
        <w:rPr>
          <w:sz w:val="28"/>
          <w:szCs w:val="28"/>
        </w:rPr>
      </w:pPr>
      <w:r>
        <w:rPr>
          <w:sz w:val="28"/>
          <w:szCs w:val="28"/>
        </w:rPr>
        <w:t xml:space="preserve">           </w:t>
      </w:r>
      <w:r w:rsidR="00011A70" w:rsidRPr="00011A70">
        <w:rPr>
          <w:sz w:val="28"/>
          <w:szCs w:val="28"/>
        </w:rPr>
        <w:t>Здания и сооружения, а также территории организаций и населенных пунктов должны иметь источники противопожарного водоснабжения для тушения пожаров. Источниками наружного противопожарного водоснабжения (далее НП</w:t>
      </w:r>
      <w:r w:rsidR="00011A70">
        <w:rPr>
          <w:sz w:val="28"/>
          <w:szCs w:val="28"/>
        </w:rPr>
        <w:t>П</w:t>
      </w:r>
      <w:r w:rsidR="00011A70" w:rsidRPr="00011A70">
        <w:rPr>
          <w:sz w:val="28"/>
          <w:szCs w:val="28"/>
        </w:rPr>
        <w:t>В) являются наружные водопроводные сети, водные объекты, используемые для целей пожаротушения, и противопожарные резервуары, создаваемые органами местного самоуправления городских и сельских поселений, городских и муниципальных округов, внутригородских районов для целей пожаротушения. Требования к наружному противопожарному водоснабжению определяет Федеральный закон от 22.07.2008 г. № 123-ФЗ «Технический регламент о требованиях пожарной безопасности» (далее ФЗ № 123), в частности ст. ст. 62, 68, 99. В развитие положений указанных статей разработан нормативный документ СП 8.131310.2020 «Системы противопожарной защиты. Наружное противопожарное водоснабжение. Требования пожарной безопасности» (далее СП 8.13130.2020). Этот нормативный документ устанавливает нормы расхода воды на наружное пожаротушение, требования к расчетному количеству одновременных пожаров, свободному напору в наружной водопроводной сети, размещению пожарных гидрантов и другие требования пожарной безопасности, необходимые для проектирования систем водоснабжения, обеспечивающих противопожарные нужды, а также требования к пожарным резервуарам и водоемам. Требования по эксплуатации и содержанию источников НПВ содержатся в Правилах противопожарного режима в Российской Федерации, утвержденных постановлением Правительства Российской Федерации от 16.09.2020 г. № 1479 (далее ППР в РФ). </w:t>
      </w:r>
    </w:p>
    <w:p w14:paraId="720480E0" w14:textId="2C243651" w:rsidR="00011A70" w:rsidRPr="00011A70" w:rsidRDefault="00011A70" w:rsidP="00011A70">
      <w:pPr>
        <w:pStyle w:val="a3"/>
        <w:shd w:val="clear" w:color="auto" w:fill="FFFFFF"/>
        <w:spacing w:before="0" w:beforeAutospacing="0" w:after="300" w:afterAutospacing="0"/>
        <w:ind w:firstLine="708"/>
        <w:jc w:val="both"/>
        <w:textAlignment w:val="baseline"/>
        <w:rPr>
          <w:sz w:val="28"/>
          <w:szCs w:val="28"/>
        </w:rPr>
      </w:pPr>
      <w:r w:rsidRPr="00011A70">
        <w:rPr>
          <w:sz w:val="28"/>
          <w:szCs w:val="28"/>
        </w:rPr>
        <w:lastRenderedPageBreak/>
        <w:t>Выбор источников НППВ осуществляется с учетом расположения объекта и характеристик местности. При необходимости устройства пожарных гидрантов предусматривается их размещение вдоль автомобильных дорог на расстоянии не более 2,5 м от края проезжей части, но не ближе 5 м от стен зданий, также допускается располагать гидранты на проезжей части. Количество, место установки и расстояние между ними определяют расчетом, исходя из суммарного расхода воды на пожаротушение и пропускной способности устанавливаемого типа гидрантов, с учетом требований раздела 8 СП 8.13130.2020. При устройстве пожарных резервуаров или искусственных водоемов надлежит размещать из условия обслуживания ими зданий, находящихся в радиусе: </w:t>
      </w:r>
    </w:p>
    <w:p w14:paraId="31D0F9C0" w14:textId="77777777" w:rsidR="00011A70" w:rsidRPr="00011A70" w:rsidRDefault="00011A70" w:rsidP="00011A70">
      <w:pPr>
        <w:pStyle w:val="a3"/>
        <w:shd w:val="clear" w:color="auto" w:fill="FFFFFF"/>
        <w:spacing w:before="0" w:beforeAutospacing="0" w:after="300" w:afterAutospacing="0"/>
        <w:jc w:val="both"/>
        <w:textAlignment w:val="baseline"/>
        <w:rPr>
          <w:sz w:val="28"/>
          <w:szCs w:val="28"/>
        </w:rPr>
      </w:pPr>
      <w:r w:rsidRPr="00011A70">
        <w:rPr>
          <w:sz w:val="28"/>
          <w:szCs w:val="28"/>
        </w:rPr>
        <w:t>- при заборе воды насосами пожарных автомобилей - 200 м; </w:t>
      </w:r>
    </w:p>
    <w:p w14:paraId="1A9041E8" w14:textId="77777777" w:rsidR="00011A70" w:rsidRDefault="00011A70" w:rsidP="00011A70">
      <w:pPr>
        <w:pStyle w:val="a3"/>
        <w:shd w:val="clear" w:color="auto" w:fill="FFFFFF"/>
        <w:spacing w:before="0" w:beforeAutospacing="0" w:after="0" w:afterAutospacing="0"/>
        <w:jc w:val="both"/>
        <w:textAlignment w:val="baseline"/>
        <w:rPr>
          <w:rFonts w:ascii="Arial" w:hAnsi="Arial" w:cs="Arial"/>
          <w:color w:val="3B4256"/>
          <w:spacing w:val="3"/>
          <w:bdr w:val="none" w:sz="0" w:space="0" w:color="auto" w:frame="1"/>
        </w:rPr>
      </w:pPr>
      <w:r w:rsidRPr="00011A70">
        <w:rPr>
          <w:spacing w:val="3"/>
          <w:sz w:val="28"/>
          <w:szCs w:val="28"/>
          <w:bdr w:val="none" w:sz="0" w:space="0" w:color="auto" w:frame="1"/>
        </w:rPr>
        <w:t>- при заборе воды мотопомпами - 100 - 150 м (в зависимости от типа мотопомп)</w:t>
      </w:r>
      <w:r w:rsidRPr="00011A70">
        <w:rPr>
          <w:color w:val="3B4256"/>
          <w:spacing w:val="3"/>
          <w:sz w:val="28"/>
          <w:szCs w:val="28"/>
          <w:bdr w:val="none" w:sz="0" w:space="0" w:color="auto" w:frame="1"/>
        </w:rPr>
        <w:t>.</w:t>
      </w:r>
      <w:r>
        <w:rPr>
          <w:rFonts w:ascii="Arial" w:hAnsi="Arial" w:cs="Arial"/>
          <w:color w:val="3B4256"/>
          <w:spacing w:val="3"/>
          <w:bdr w:val="none" w:sz="0" w:space="0" w:color="auto" w:frame="1"/>
        </w:rPr>
        <w:t xml:space="preserve"> </w:t>
      </w:r>
    </w:p>
    <w:p w14:paraId="390A15A4" w14:textId="354B9575" w:rsidR="00011A70" w:rsidRPr="00011A70" w:rsidRDefault="00011A70" w:rsidP="00011A70">
      <w:pPr>
        <w:pStyle w:val="a3"/>
        <w:shd w:val="clear" w:color="auto" w:fill="FFFFFF"/>
        <w:spacing w:before="0" w:beforeAutospacing="0" w:after="0" w:afterAutospacing="0"/>
        <w:ind w:firstLine="708"/>
        <w:jc w:val="both"/>
        <w:textAlignment w:val="baseline"/>
        <w:rPr>
          <w:sz w:val="28"/>
          <w:szCs w:val="28"/>
        </w:rPr>
      </w:pPr>
      <w:r w:rsidRPr="00011A70">
        <w:rPr>
          <w:spacing w:val="3"/>
          <w:sz w:val="28"/>
          <w:szCs w:val="28"/>
          <w:bdr w:val="none" w:sz="0" w:space="0" w:color="auto" w:frame="1"/>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 Подъезд и возможность забора воды из источников Н</w:t>
      </w:r>
      <w:r>
        <w:rPr>
          <w:spacing w:val="3"/>
          <w:sz w:val="28"/>
          <w:szCs w:val="28"/>
          <w:bdr w:val="none" w:sz="0" w:space="0" w:color="auto" w:frame="1"/>
        </w:rPr>
        <w:t>П</w:t>
      </w:r>
      <w:r w:rsidRPr="00011A70">
        <w:rPr>
          <w:spacing w:val="3"/>
          <w:sz w:val="28"/>
          <w:szCs w:val="28"/>
          <w:bdr w:val="none" w:sz="0" w:space="0" w:color="auto" w:frame="1"/>
        </w:rPr>
        <w:t>ПВ должны быть обеспечены в любое время года.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 (п. 49 ППР в РФ). Организация проверки источников НП</w:t>
      </w:r>
      <w:r>
        <w:rPr>
          <w:spacing w:val="3"/>
          <w:sz w:val="28"/>
          <w:szCs w:val="28"/>
          <w:bdr w:val="none" w:sz="0" w:space="0" w:color="auto" w:frame="1"/>
        </w:rPr>
        <w:t>П</w:t>
      </w:r>
      <w:r w:rsidRPr="00011A70">
        <w:rPr>
          <w:spacing w:val="3"/>
          <w:sz w:val="28"/>
          <w:szCs w:val="28"/>
          <w:bdr w:val="none" w:sz="0" w:space="0" w:color="auto" w:frame="1"/>
        </w:rPr>
        <w:t>В на водоотдачу, то есть на возможность подачи воды, как огнетушащего вещества, к месту пожара посредством насоса пожарного автомобиля или мотопомпы, проводится не реже двух раз в год (весной и осенью) с внесением информации в журнал эксплуатации систем противопожарной защиты, находящийся на объекте.</w:t>
      </w:r>
    </w:p>
    <w:p w14:paraId="52ECF4B7" w14:textId="77777777" w:rsidR="00011A70" w:rsidRPr="00011A70" w:rsidRDefault="00011A70" w:rsidP="00011A70">
      <w:pPr>
        <w:pStyle w:val="a3"/>
        <w:shd w:val="clear" w:color="auto" w:fill="FFFFFF"/>
        <w:spacing w:before="0" w:beforeAutospacing="0" w:after="300" w:afterAutospacing="0"/>
        <w:ind w:firstLine="708"/>
        <w:jc w:val="both"/>
        <w:textAlignment w:val="baseline"/>
        <w:rPr>
          <w:sz w:val="28"/>
          <w:szCs w:val="28"/>
        </w:rPr>
      </w:pPr>
      <w:r w:rsidRPr="00011A70">
        <w:rPr>
          <w:sz w:val="28"/>
          <w:szCs w:val="28"/>
        </w:rPr>
        <w:t>В соответствии с п. 48 ППР в РФ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 </w:t>
      </w:r>
    </w:p>
    <w:p w14:paraId="5E09917C" w14:textId="26C311F3" w:rsidR="00011A70" w:rsidRPr="00011A70" w:rsidRDefault="00011A70" w:rsidP="00011A70">
      <w:pPr>
        <w:pStyle w:val="a3"/>
        <w:shd w:val="clear" w:color="auto" w:fill="FFFFFF"/>
        <w:spacing w:before="0" w:beforeAutospacing="0" w:after="300" w:afterAutospacing="0"/>
        <w:ind w:firstLine="708"/>
        <w:jc w:val="both"/>
        <w:textAlignment w:val="baseline"/>
        <w:rPr>
          <w:sz w:val="28"/>
          <w:szCs w:val="28"/>
        </w:rPr>
      </w:pPr>
      <w:r w:rsidRPr="00011A70">
        <w:rPr>
          <w:sz w:val="28"/>
          <w:szCs w:val="28"/>
        </w:rPr>
        <w:t xml:space="preserve"> За исправное состояние, своевременное обслуживание и ремонт НППВ, находящихся на территории организации, отвечают руководители организаций и правообладатели земельных участков (руководители муниципальных образований), на которых расположены такие источники.</w:t>
      </w:r>
    </w:p>
    <w:p w14:paraId="3979EBB7" w14:textId="087A1670" w:rsidR="00011A70" w:rsidRPr="00BC524A" w:rsidRDefault="00011A70" w:rsidP="00BC524A">
      <w:pPr>
        <w:pStyle w:val="a3"/>
        <w:shd w:val="clear" w:color="auto" w:fill="FFFFFF"/>
        <w:spacing w:before="0" w:beforeAutospacing="0" w:after="300" w:afterAutospacing="0"/>
        <w:ind w:firstLine="708"/>
        <w:jc w:val="both"/>
        <w:textAlignment w:val="baseline"/>
        <w:rPr>
          <w:sz w:val="28"/>
          <w:szCs w:val="28"/>
        </w:rPr>
      </w:pPr>
      <w:r w:rsidRPr="00BC524A">
        <w:rPr>
          <w:sz w:val="28"/>
          <w:szCs w:val="28"/>
        </w:rPr>
        <w:t xml:space="preserve">Основными нарушениями, выявляемыми при проведении проверок, являются отсутствие площадок для возможности установки пожарного </w:t>
      </w:r>
      <w:r w:rsidRPr="00BC524A">
        <w:rPr>
          <w:sz w:val="28"/>
          <w:szCs w:val="28"/>
        </w:rPr>
        <w:lastRenderedPageBreak/>
        <w:t>автомобиля и забора воды в любое время года, несвоевременное обслуживание и недостаточность источников НП</w:t>
      </w:r>
      <w:r w:rsidR="00BC524A" w:rsidRPr="00BC524A">
        <w:rPr>
          <w:sz w:val="28"/>
          <w:szCs w:val="28"/>
        </w:rPr>
        <w:t>П</w:t>
      </w:r>
      <w:r w:rsidRPr="00BC524A">
        <w:rPr>
          <w:sz w:val="28"/>
          <w:szCs w:val="28"/>
        </w:rPr>
        <w:t>В на территории организации, муниципального образования.</w:t>
      </w:r>
    </w:p>
    <w:p w14:paraId="6B4984B0" w14:textId="6A765FA7" w:rsidR="00011A70" w:rsidRPr="00BC524A" w:rsidRDefault="00011A70" w:rsidP="00BC524A">
      <w:pPr>
        <w:pStyle w:val="a3"/>
        <w:shd w:val="clear" w:color="auto" w:fill="FFFFFF"/>
        <w:spacing w:before="0" w:beforeAutospacing="0" w:after="300" w:afterAutospacing="0"/>
        <w:ind w:firstLine="708"/>
        <w:jc w:val="both"/>
        <w:textAlignment w:val="baseline"/>
        <w:rPr>
          <w:sz w:val="28"/>
          <w:szCs w:val="28"/>
        </w:rPr>
      </w:pPr>
      <w:r w:rsidRPr="00BC524A">
        <w:rPr>
          <w:sz w:val="28"/>
          <w:szCs w:val="28"/>
        </w:rPr>
        <w:t>В случае отсутствия и (или) неисправности источников НП</w:t>
      </w:r>
      <w:r w:rsidR="00642155">
        <w:rPr>
          <w:sz w:val="28"/>
          <w:szCs w:val="28"/>
        </w:rPr>
        <w:t>П</w:t>
      </w:r>
      <w:r w:rsidRPr="00BC524A">
        <w:rPr>
          <w:sz w:val="28"/>
          <w:szCs w:val="28"/>
        </w:rPr>
        <w:t>В увеличивается время локализации и ликвидации пожара, что в свою очередь может привести к негативным последствиям, таким как большой материальный ущерб, вред жизни и здоровью граждан, а также самим участникам тушения пожаров.</w:t>
      </w:r>
    </w:p>
    <w:p w14:paraId="37F3C570" w14:textId="0E1D029F" w:rsidR="00CD363E" w:rsidRPr="00E55B90" w:rsidRDefault="00E55B90">
      <w:pPr>
        <w:rPr>
          <w:rFonts w:ascii="Times New Roman" w:hAnsi="Times New Roman" w:cs="Times New Roman"/>
          <w:sz w:val="28"/>
          <w:szCs w:val="28"/>
        </w:rPr>
      </w:pPr>
      <w:r w:rsidRPr="00E55B90">
        <w:rPr>
          <w:rFonts w:ascii="Times New Roman" w:hAnsi="Times New Roman" w:cs="Times New Roman"/>
          <w:sz w:val="28"/>
          <w:szCs w:val="28"/>
        </w:rPr>
        <w:t xml:space="preserve">Начальник ПЧ №113 </w:t>
      </w:r>
    </w:p>
    <w:p w14:paraId="09FA547F" w14:textId="12D999C8" w:rsidR="00E55B90" w:rsidRPr="00E55B90" w:rsidRDefault="00E55B90">
      <w:pPr>
        <w:rPr>
          <w:rFonts w:ascii="Times New Roman" w:hAnsi="Times New Roman" w:cs="Times New Roman"/>
          <w:sz w:val="28"/>
          <w:szCs w:val="28"/>
        </w:rPr>
      </w:pPr>
      <w:r w:rsidRPr="00E55B90">
        <w:rPr>
          <w:rFonts w:ascii="Times New Roman" w:hAnsi="Times New Roman" w:cs="Times New Roman"/>
          <w:sz w:val="28"/>
          <w:szCs w:val="28"/>
        </w:rPr>
        <w:t xml:space="preserve">ОГБУ «Пожарно-спасательная служба Иркутской </w:t>
      </w:r>
      <w:proofErr w:type="gramStart"/>
      <w:r w:rsidRPr="00E55B90">
        <w:rPr>
          <w:rFonts w:ascii="Times New Roman" w:hAnsi="Times New Roman" w:cs="Times New Roman"/>
          <w:sz w:val="28"/>
          <w:szCs w:val="28"/>
        </w:rPr>
        <w:t xml:space="preserve">области»   </w:t>
      </w:r>
      <w:proofErr w:type="gramEnd"/>
      <w:r w:rsidRPr="00E55B90">
        <w:rPr>
          <w:rFonts w:ascii="Times New Roman" w:hAnsi="Times New Roman" w:cs="Times New Roman"/>
          <w:sz w:val="28"/>
          <w:szCs w:val="28"/>
        </w:rPr>
        <w:t xml:space="preserve">                         С.Н. Петров</w:t>
      </w:r>
    </w:p>
    <w:sectPr w:rsidR="00E55B90" w:rsidRPr="00E55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93"/>
    <w:rsid w:val="00011A70"/>
    <w:rsid w:val="00140A66"/>
    <w:rsid w:val="003A1C1A"/>
    <w:rsid w:val="00441CFD"/>
    <w:rsid w:val="00570E43"/>
    <w:rsid w:val="00642155"/>
    <w:rsid w:val="007F135C"/>
    <w:rsid w:val="00845C9B"/>
    <w:rsid w:val="00B0742E"/>
    <w:rsid w:val="00BC524A"/>
    <w:rsid w:val="00CD363E"/>
    <w:rsid w:val="00E55B90"/>
    <w:rsid w:val="00E9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55DC"/>
  <w15:chartTrackingRefBased/>
  <w15:docId w15:val="{B1B7D4BF-D90D-4AF4-92F4-429E61BD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dcterms:created xsi:type="dcterms:W3CDTF">2021-08-13T03:39:00Z</dcterms:created>
  <dcterms:modified xsi:type="dcterms:W3CDTF">2021-08-13T04:28:00Z</dcterms:modified>
</cp:coreProperties>
</file>